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</w:rPr>
        <w:t>Informacja dodatkowa do sprawozdania  finansowego za rok 2019</w:t>
      </w:r>
      <w:r/>
    </w:p>
    <w:tbl>
      <w:tblPr>
        <w:tblStyle w:val="Tabela-Siatka"/>
        <w:tblW w:w="9464" w:type="dxa"/>
        <w:jc w:val="left"/>
        <w:tblInd w:w="-35" w:type="dxa"/>
        <w:tblBorders/>
        <w:tblCellMar>
          <w:top w:w="0" w:type="dxa"/>
          <w:left w:w="73" w:type="dxa"/>
          <w:bottom w:w="0" w:type="dxa"/>
          <w:right w:w="108" w:type="dxa"/>
        </w:tblCellMar>
      </w:tblPr>
      <w:tblGrid>
        <w:gridCol w:w="667"/>
        <w:gridCol w:w="5969"/>
        <w:gridCol w:w="2828"/>
      </w:tblGrid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 xml:space="preserve">Wprowadzenie do sprawozdania finansowego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1.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 xml:space="preserve">Nazwę jednostki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Publiczne Przedszkole Nr 2</w:t>
            </w:r>
            <w:r/>
          </w:p>
        </w:tc>
      </w:tr>
      <w:tr>
        <w:trPr>
          <w:trHeight w:val="307" w:hRule="atLeast"/>
        </w:trPr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1.2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 xml:space="preserve">Siedzibę jednostki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UL. Zielona 16, 64-122 Pawłowice 16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1.3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 xml:space="preserve">Adres jednostki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Zielona 16 , 64-122 Pawłowice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1.4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Podstawowy przedmiot działalności  jednostki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Wychowanie Przedszkole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 xml:space="preserve">Wskazanie okresu objętego sprawozdaniem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01.01.2019 -31.12.2019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3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 xml:space="preserve">Wskazanie , ze sprawozdanie finansowe zawiera dane łączne , jeżeli  w skład jednostki nadrzędnej lub jednostki samorządu terytorialnego  wchodzą jednostki sporządzające samodzielne sprawozdania finansowe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Sprawozdanie Finansowe Jednostkowe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>Omówienie przyjętych zasad polityki rachunkowości w tym metod wyceny aktywów i pasywów ( także amortyzacji )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 w:val="false"/>
                <w:sz w:val="22"/>
                <w:b w:val="false"/>
                <w:szCs w:val="22"/>
                <w:bCs w:val="false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b w:val="false"/>
                <w:bCs w:val="false"/>
              </w:rPr>
              <w:t xml:space="preserve">Omówiono  w załączniku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 w:val="false"/>
                <w:sz w:val="22"/>
                <w:b w:val="false"/>
                <w:szCs w:val="22"/>
                <w:bCs w:val="false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b w:val="false"/>
                <w:bCs w:val="false"/>
              </w:rPr>
              <w:t>Nr 1 do informacji dodatkowej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II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Dodatkowe informacje i objaśnienia obejmują w szczególności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Szczegółowy zakres zmian wartości grup rodzajowych środków trwałych , wartości niematerialnych i prawnych, zawierający stan tych aktywów na początek roku obrotowego , zwiększenia i zmniejszenia z tytułu : aktualizacji wartości , nabycia, rozchodu, przemieszczenia wewnętrznego oraz stan końcowy , a dla majątku amortyzowanego –podobne przedstawienie stanów i tytułów zmian dotychczasowej amortyzacji lub umorzenia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Wykazano w tabeli Nr 1 i Nr 2 tabeli – załącznik  nr 2 do informacji dodatkowej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Aktualna wartość rynkową środków trwałych w tym dóbr kultury - o ile jednostka takimi dysponuje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dysponuje takimi informacjami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1.3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Kwotę dokonanych w trakcie roku obrotowego odpisów aktualizujących wartość aktywów  trwałych odrębnie dla długoterminowych aktywów niefinansowych oraz długotrwałych aktywów finansowych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dokonuje odpisów aktualizujących wartość aktywów trwałych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1.4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Wartość gruntów użytkowanych wieczyście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gruntów użytkowanych wieczyście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1.5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>Wartość niezamortyzowanych lub nieumarzanych przez jednostkę środków trwałych , używanych na podstawie umów najmu, dzierżawy i innych umów w tym z tytułu umów leasingu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 xml:space="preserve"> </w:t>
            </w:r>
            <w:r>
              <w:rPr/>
              <w:t>Jednostka nie używa środków trwałych na podstawie umów najmu, dzierżawy i innych umów w tym z tytułu umów leasingu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1.6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Liczbę i wartość posiadanych papierów wartościowych , w tym akcji i udziałów oraz papierów wartościowych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papierów wartościowych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1.7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Dane o odpisach aktualizujących wartość należności ze wskazaniem stanu na początek roku obrotowego , zwiększeniach, wykorzystaniu, rozwiązaniu i stanie na koniec roku obrotowego , z uwzględnieniem należności finansowych jednostek samorządu  terytorialnego ( stan pożyczek zagrożonych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odpisów aktualizujących wartość należności.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 xml:space="preserve"> </w:t>
            </w:r>
            <w:r>
              <w:rPr/>
              <w:t xml:space="preserve">obrotowym . 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1.8 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Dane o stanie rezerw według celu ich utworzenia na początek roku obrotowego, zwiększeniach , wykorzystaniu,  rozwiązaniu  i stanie końcowym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Jednostka nie posiada rezerw wg celu ich wytworzenia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1.9 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Podział zobowiązań długoterminowych według pozycji bilansu o pozostałym od dnia bilansowego , przewidywanym umową lub wynikającym z innego tytułu prawnego , okresie spłaty :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zobowiązań długoterminowych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a)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Powyżej 1 roku do 3 lat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b) 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Powyżej 3 do 5 lat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C)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Powyżej 5 lat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1.10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Kwotę zobowiązań w sytuacji gdy jednostka kwalifikuje umowy leasingu zgodnie z przepisami prawa podatkowego                   ( leasing operacyjny ) , a według  przepisów o rachunkowości były to leasing finansowy lub zwrotny z podziałem na kwotę zobowiązań z tytułu leasingu finansowego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umów leasingu.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1.11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Łączną kwotę zobowiązań zabezpieczonych na majątku jednostki ze wskazaniem charakteru i formy zabezpieczeń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zobowiązań zabezpieczonych na majątku jednostki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Łączną kwotę zobowiązań warunkowych , w tym udzielonych przez jednostkę gwarancji i poręczeń , także wekslowych , nie wykazanych w bilansie , ze wskazaniem zabezpieczonych na majątku jednostki oraz charakteru i formy zabezpieczeń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Jednostka nie posiada zobowiązań warunkowych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1.13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Wykaz istotnych pozycji  czynnych i biernych rozliczeń  między okresowych , w tym kwotę czynnych rozliczeń międzyokresowych kosztów stanowiących różnicę miedzy wartością otrzymanych finansowych składników aktywów a zobowiązaniem zapłaty za nie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 xml:space="preserve">Jednostka nie posiada czynnych i biernych rozliczeń międzyokresowych 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1.14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Łączną kwotę otrzymanych przez jednostkę gwarancji i poręczeń niewykazanych w bilansie.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gwarancji i poręczeń niewykazanych w bilansie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1.15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Kwotę wypłaconych środków na świadczenia pracownicze 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Z podziałem ;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- wynagrodzenia osobowe, 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- odprawy emerytalne, 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- nagrody jubileuszowe, 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-świadczenia BHP 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- świadczenia wypłacone pracownikom z ZFŚS.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wypłaciła świadczenia pracownicze: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- wynagrodzenia osobowe w kwocie 287 599,67 zł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- nagrody jubileuszowe w kwocie 450,71 zł;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-świadczenia BHP W kwocie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 xml:space="preserve"> </w:t>
            </w:r>
            <w:r>
              <w:rPr/>
              <w:t>2 415,86 zł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- świadczenia z ZFŚS w kwocie 16 626,66 zł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1.16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Inne informacje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2.1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Wartość odpisów aktualizujących wartość zapasów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dokonała odpisów aktualizujących.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2.2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Koszt wytworzenia środków trwałych w budowie , w tym odsetki oraz różnice kursowe , które powiększyły koszt wytworzenia środków trwałych w budowie w roku obrotowym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środków trwałych w budowie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2.3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Kwotę i charakter poszczególnych pozycji przychodów  lub kosztów  o nadzwyczajnej wartości lub które wystąpiły incydentalnie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 xml:space="preserve"> </w:t>
            </w:r>
            <w:r>
              <w:rPr/>
              <w:t>W jednostce nie występują koszty i przychody o nadzwyczajnej wartości oraz incydentalne.</w:t>
            </w:r>
            <w:r/>
          </w:p>
        </w:tc>
      </w:tr>
      <w:tr>
        <w:trPr>
          <w:trHeight w:val="1227" w:hRule="atLeast"/>
        </w:trPr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>2.4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Informacja o kwocie należności z tytułu podatków realizowanych przez organy podatkowe podległe ministrowi właściwemu ds. finansów publicznych  wykazywanych w sprawozdaniu  z wykonania planu dochodów budżetowych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 xml:space="preserve">Nie dotyczy    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1239" w:hRule="atLeast"/>
        </w:trPr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bookmarkStart w:id="0" w:name="_GoBack"/>
            <w:bookmarkStart w:id="1" w:name="_GoBack"/>
            <w:bookmarkEnd w:id="1"/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>2.5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 xml:space="preserve">inne informacje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 xml:space="preserve">                 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2367" w:hRule="atLeast"/>
        </w:trPr>
        <w:tc>
          <w:tcPr>
            <w:tcW w:w="667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3. 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inne informacje niż wymienione powyżej ,jeżeli mogłyby w istotny sposób wpłynąć na ocenę sytuacji majątkowej lub finansowej oraz wynik finansowy jednostki.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 xml:space="preserve">  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</w:pPr>
      <w:r>
        <w:rPr>
          <w:b/>
        </w:rPr>
        <w:t xml:space="preserve"> 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b6a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1b6a64"/>
    <w:rPr>
      <w:vertAlign w:val="superscript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1b6a6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pPr/>
    <w:rPr/>
  </w:style>
  <w:style w:type="paragraph" w:styleId="Nagwektabeli">
    <w:name w:val="Nagłówek tabeli"/>
    <w:basedOn w:val="Zawartotabeli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5794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Application>LibreOffice/4.3.1.2$Windows_x86 LibreOffice_project/958349dc3b25111dbca392fbc281a05559ef6848</Application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2019-01-25T12:37:00Z</dcterms:created>
  <dc:creator>Dorota Andrzejewska</dc:creator>
  <dc:language>pl-PL</dc:language>
  <dcterms:modified xsi:type="dcterms:W3CDTF">2020-03-10T10:44:30Z</dcterms:modified>
  <cp:revision>13</cp:revision>
</cp:coreProperties>
</file>