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</w:rPr>
        <w:t>Informacja dodatkowa do sprawozdania  finansowego za rok 2019</w:t>
      </w:r>
      <w:r/>
    </w:p>
    <w:tbl>
      <w:tblPr>
        <w:tblStyle w:val="Tabela-Siatka"/>
        <w:tblW w:w="9464" w:type="dxa"/>
        <w:jc w:val="left"/>
        <w:tblInd w:w="-4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667"/>
        <w:gridCol w:w="5969"/>
        <w:gridCol w:w="2828"/>
      </w:tblGrid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 xml:space="preserve">Wprowadzenie do sprawozdania finansowego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1.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Nazwę jednostki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Publiczne Przedszkole w Krzemieniewie</w:t>
            </w:r>
            <w:r/>
          </w:p>
        </w:tc>
      </w:tr>
      <w:tr>
        <w:trPr>
          <w:trHeight w:val="307" w:hRule="atLeast"/>
        </w:trPr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1.2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Siedzibę jednostki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ul. Spółdzielcza 48, 64-120 Krzemieniewo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1.3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Adres jednostki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ul. Spółdzielcza 48 , 64-120 Krzemieniewo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1.4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Podstawowy przedmiot działalności  jednostki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Wychowanie Przedszkole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Wskazanie okresu objętego sprawozdaniem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01.01.201</w:t>
            </w:r>
            <w:r>
              <w:rPr/>
              <w:t>9</w:t>
            </w:r>
            <w:r>
              <w:rPr/>
              <w:t xml:space="preserve"> -31.12.2019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>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bCs/>
                <w:color w:val="00000A"/>
              </w:rPr>
            </w:pPr>
            <w:r>
              <w:rPr>
                <w:b/>
                <w:bCs/>
              </w:rPr>
              <w:t xml:space="preserve">Wskazanie , ze sprawozdanie finansowe zawiera dane łączne , jeżeli  w skład jednostki nadrzędnej lub jednostki samorządu terytorialnego  wchodzą jednostki sporządzające samodzielne sprawozdania finansowe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Sprawozdanie Finansowe Jednostkowe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Omówienie przyjętych zasad polityki rachunkowości w tym metod wyceny aktywów i pasywów ( także amortyzacji )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 w:val="false"/>
                <w:sz w:val="22"/>
                <w:b w:val="false"/>
                <w:szCs w:val="22"/>
                <w:bCs w:val="false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b w:val="false"/>
                <w:bCs w:val="false"/>
              </w:rPr>
              <w:t xml:space="preserve">Omówiono  w załączniku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 w:val="false"/>
                <w:sz w:val="22"/>
                <w:b w:val="false"/>
                <w:szCs w:val="22"/>
                <w:bCs w:val="false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b w:val="false"/>
                <w:bCs w:val="false"/>
              </w:rPr>
              <w:t>Nr 1 do informacji dodatkowej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II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Dodatkowe informacje i objaśnienia obejmują w szczególności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Szczegółowy zakres zmian wartości grup rodzajowych środków trwałych , wartości niematerialnych i prawnych, zawierający stan tych aktywów na początek roku obrotowego , zwiększenia i zmniejszenia z tytułu : aktualizacji wartości , nabycia, rozchodu, przemieszczenia wewnętrznego oraz stan końcowy , a dla majątku amortyzowanego –podobne przedstawienie stanów i tytułów zmian dotychczasowej amortyzacji lub umorzenia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Wykazano w tabeli Nr 1 i Nr 2 tabeli – załącznik  nr 2 do informacji dodatkowej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Aktualna wartość rynkową środków trwałych w tym dóbr kultury - o ile jednostka takimi dysponuje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dysponuje takimi informacjami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Kwotę dokonanych w trakcie roku obrotowego odpisów aktualizujących wartość aktywów  trwałych odrębnie dla długoterminowych aktywów niefinansowych oraz długotrwałych aktywów finansowych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dokonuje odpisów aktualizujących wartość aktywów trwałych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1.4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Wartość gruntów użytkowanych wieczyście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gruntów użytkowanych wieczyście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1.5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Wartość niezamortyzowanych lub nieumarzanych przez jednostkę środków trwałych , używanych na podstawie umów najmu, dzierżawy i innych umów w tym z tytułu umów leasingu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 </w:t>
            </w:r>
            <w:r>
              <w:rPr/>
              <w:t>Jednostka nie używa środków trwałych na podstawie umów najmu, dzierżawy i innych umów w tym z tytułu umów leasingu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1.6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Liczbę i wartość posiadanych papierów wartościowych , w tym akcji i udziałów oraz papierów wartościowych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papierów wartościowych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1.7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Dane o odpisach aktualizujących wartość należności ze wskazaniem stanu na początek roku obrotowego , zwiększeniach, wykorzystaniu, rozwiązaniu i stanie na koniec roku obrotowego , z uwzględnieniem należności finansowych jednostek samorządu  terytorialnego ( stan pożyczek zagrożonych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odpisów aktualizujących wartość należności.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 </w:t>
            </w:r>
            <w:r>
              <w:rPr/>
              <w:t xml:space="preserve">obrotowym . 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1.8 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Dane o stanie rezerw według celu ich utworzenia na początek roku obrotowego, zwiększeniach , wykorzystaniu,  rozwiązaniu  i stanie końcowym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Jednostka nie posiada rezerw wg celu ich wytworzenia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1.9 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Podział zobowiązań długoterminowych według pozycji bilansu o pozostałym od dnia bilansowego , przewidywanym umową lub wynikającym z innego tytułu prawnego , okresie spłaty :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zobowiązań długoterminowych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a)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Powyżej 1 roku do 3 lat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b) 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Powyżej 3 do 5 lat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C)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Powyżej 5 lat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1.10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Kwotę zobowiązań w sytuacji gdy jednostka kwalifikuje umowy leasingu zgodnie z przepisami prawa podatkowego                   ( leasing operacyjny ) , a według  przepisów o rachunkowości były to leasing finansowy lub zwrotny z podziałem na kwotę zobowiązań z tytułu leasingu finansowego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umów leasingu.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1.11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Łączną kwotę zobowiązań zabezpieczonych na majątku jednostki ze wskazaniem charakteru i formy zabezpieczeń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zobowiązań zabezpieczonych na majątku jednostki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Łączną kwotę zobowiązań warunkowych , w tym udzielonych przez jednostkę gwarancji i poręczeń , także wekslowych , nie wykazanych w bilansie , ze wskazaniem zabezpieczonych na majątku jednostki oraz charakteru i formy zabezpieczeń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Jednostka nie posiada zobowiązań warunkowych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Wykaz istotnych pozycji  czynnych i biernych rozliczeń  między okresowych , w tym kwotę czynnych rozliczeń międzyokresowych kosztów stanowiących różnicę miedzy wartością otrzymanych finansowych składników aktywów a zobowiązaniem zapłaty za nie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Jednostka nie posiada czynnych i biernych rozliczeń międzyokresowych 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1.14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Łączną kwotę otrzymanych przez jednostkę gwarancji i poręczeń niewykazanych w bilansie.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gwarancji i poręczeń niewykazanych w bilansie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1.15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Kwotę wypłaconych środków na świadczenia pracownicze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Z podziałem ;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 wynagrodzenia osobowe,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 odprawy emerytalne,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 nagrody jubileuszowe,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-świadczenia BHP 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- świadczenia wypłacone pracownikom z ZFŚS.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wypłaciła świadczenia pracownicze: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- wynagrodzenia osobowe w kwocie 613 413,22zł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- nagrody jubileuszowe w kwocie 24 097,08 zł;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-świadczenia BHP W kwocie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1 809,68zł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- odprawy emerytalne w kwocie 0,00 zł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>- świadczenia z ZFŚS w kwocie 31 948,98 zł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1.16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Inne informacje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2.1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Wartość odpisów aktualizujących wartość zapasów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dokonała odpisów aktualizujących.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2.2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Koszt wytworzenia środków trwałych w budowie , w tym odsetki oraz różnice kursowe , które powiększyły koszt wytworzenia środków trwałych w budowie w roku obrotowym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>Jednostka nie posiada środków trwałych w budowie</w:t>
            </w:r>
            <w:r/>
          </w:p>
        </w:tc>
      </w:tr>
      <w:tr>
        <w:trPr/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2.3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Kwotę i charakter poszczególnych pozycji przychodów  lub kosztów  o nadzwyczajnej wartości lub które wystąpiły incydentalnie 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 </w:t>
            </w:r>
            <w:r>
              <w:rPr/>
              <w:t>W jednostce nie występują koszty i przychody o nadzwyczajnej wartości oraz incydentalne.</w:t>
            </w:r>
            <w:r/>
          </w:p>
        </w:tc>
      </w:tr>
      <w:tr>
        <w:trPr>
          <w:trHeight w:val="1227" w:hRule="atLeast"/>
        </w:trPr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2.4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Informacja o kwocie należności z tytułu podatków realizowanych przez organy podatkowe podległe ministrowi właściwemu ds. finansów publicznych  wykazywanych w sprawozdaniu  z wykonania planu dochodów budżetowych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/>
              <w:t xml:space="preserve">Nie dotyczy    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1239" w:hRule="atLeast"/>
        </w:trPr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bookmarkStart w:id="0" w:name="_GoBack"/>
            <w:bookmarkStart w:id="1" w:name="_GoBack"/>
            <w:bookmarkEnd w:id="1"/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>2.5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b/>
              </w:rPr>
              <w:t xml:space="preserve">inne informacje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 xml:space="preserve">                 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2367" w:hRule="atLeast"/>
        </w:trPr>
        <w:tc>
          <w:tcPr>
            <w:tcW w:w="667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3. </w:t>
            </w:r>
            <w:r/>
          </w:p>
        </w:tc>
        <w:tc>
          <w:tcPr>
            <w:tcW w:w="5969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b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inne informacje niż wymienione powyżej ,jeżeli mogłyby w istotny sposób wpłynąć na ocenę sytuacji majątkowej lub finansowej oraz wynik finansowy jednostki.</w:t>
            </w:r>
            <w:r/>
          </w:p>
        </w:tc>
        <w:tc>
          <w:tcPr>
            <w:tcW w:w="2828" w:type="dxa"/>
            <w:tcBorders/>
            <w:shd w:color="auto"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color w:val="00000A"/>
              </w:rPr>
            </w:pPr>
            <w:r>
              <w:rPr/>
              <w:t xml:space="preserve">  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/>
                <w:color w:val="00000A"/>
                <w:lang w:val="pl-PL" w:eastAsia="en-US" w:bidi="ar-SA"/>
              </w:rPr>
            </w:pPr>
            <w:r>
              <w:rPr>
                <w:rFonts w:eastAsia="Calibri" w:cs="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</w:pPr>
      <w:r>
        <w:rPr>
          <w:b/>
        </w:rPr>
        <w:t xml:space="preserve"> 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b6a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b6a64"/>
    <w:rPr>
      <w:vertAlign w:val="superscript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1b6a6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pPr/>
    <w:rPr/>
  </w:style>
  <w:style w:type="paragraph" w:styleId="Nagwektabeli">
    <w:name w:val="Nagłówek tabeli"/>
    <w:basedOn w:val="Zawartotabeli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5794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Application>LibreOffice/4.3.1.2$Windows_x86 LibreOffice_project/958349dc3b25111dbca392fbc281a05559ef6848</Application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2019-01-25T12:37:00Z</dcterms:created>
  <dc:creator>Dorota Andrzejewska</dc:creator>
  <dc:language>pl-PL</dc:language>
  <dcterms:modified xsi:type="dcterms:W3CDTF">2020-05-07T19:24:24Z</dcterms:modified>
  <cp:revision>14</cp:revision>
</cp:coreProperties>
</file>